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 w:lineRule="atLeast"/>
        <w:jc w:val="center"/>
        <w:rPr>
          <w:rFonts w:hint="eastAsia" w:ascii="黑体" w:hAnsi="黑体" w:eastAsia="黑体"/>
          <w:bCs/>
          <w:color w:val="000000"/>
          <w:sz w:val="44"/>
          <w:szCs w:val="44"/>
        </w:rPr>
      </w:pPr>
      <w:r>
        <w:rPr>
          <w:rFonts w:hint="eastAsia" w:ascii="黑体" w:hAnsi="黑体" w:eastAsia="黑体"/>
          <w:bCs/>
          <w:color w:val="000000"/>
          <w:sz w:val="44"/>
          <w:szCs w:val="44"/>
        </w:rPr>
        <w:t>驻徐高校大学生</w:t>
      </w:r>
      <w:r>
        <w:rPr>
          <w:rFonts w:hint="eastAsia" w:ascii="黑体" w:hAnsi="黑体" w:eastAsia="黑体"/>
          <w:bCs/>
          <w:color w:val="000000"/>
          <w:sz w:val="44"/>
          <w:szCs w:val="44"/>
          <w:lang w:val="en-US" w:eastAsia="zh-CN"/>
        </w:rPr>
        <w:t>2021年度</w:t>
      </w:r>
      <w:r>
        <w:rPr>
          <w:rFonts w:hint="eastAsia" w:ascii="黑体" w:hAnsi="黑体" w:eastAsia="黑体"/>
          <w:bCs/>
          <w:color w:val="000000"/>
          <w:sz w:val="44"/>
          <w:szCs w:val="44"/>
        </w:rPr>
        <w:t>参加城乡居民</w:t>
      </w:r>
    </w:p>
    <w:p>
      <w:pPr>
        <w:spacing w:line="24" w:lineRule="atLeast"/>
        <w:ind w:firstLine="2640" w:firstLineChars="600"/>
        <w:jc w:val="both"/>
        <w:rPr>
          <w:rFonts w:hint="eastAsia" w:ascii="黑体" w:eastAsia="黑体"/>
          <w:sz w:val="44"/>
          <w:szCs w:val="44"/>
        </w:rPr>
      </w:pPr>
      <w:r>
        <w:rPr>
          <w:rFonts w:hint="eastAsia" w:ascii="黑体" w:hAnsi="黑体" w:eastAsia="黑体"/>
          <w:bCs/>
          <w:color w:val="000000"/>
          <w:sz w:val="44"/>
          <w:szCs w:val="44"/>
        </w:rPr>
        <w:t>医保政策简介</w:t>
      </w:r>
    </w:p>
    <w:p>
      <w:pPr>
        <w:pStyle w:val="4"/>
        <w:ind w:firstLine="640"/>
        <w:rPr>
          <w:rFonts w:ascii="黑体" w:hAnsi="黑体" w:eastAsia="黑体" w:cs="仿宋_GB2312"/>
          <w:bCs/>
          <w:sz w:val="32"/>
          <w:szCs w:val="32"/>
        </w:rPr>
      </w:pPr>
      <w:r>
        <w:rPr>
          <w:rFonts w:hint="eastAsia" w:ascii="仿宋" w:hAnsi="仿宋" w:eastAsia="仿宋"/>
          <w:sz w:val="32"/>
          <w:szCs w:val="32"/>
          <w:lang w:val="en-US" w:eastAsia="zh-CN"/>
        </w:rPr>
        <w:t xml:space="preserve"> </w:t>
      </w:r>
      <w:r>
        <w:rPr>
          <w:rFonts w:hint="eastAsia" w:ascii="黑体" w:hAnsi="黑体" w:eastAsia="黑体" w:cs="仿宋_GB2312"/>
          <w:bCs/>
          <w:sz w:val="32"/>
          <w:szCs w:val="32"/>
        </w:rPr>
        <w:t>一、文件依据</w:t>
      </w:r>
    </w:p>
    <w:p>
      <w:pPr>
        <w:widowControl/>
        <w:ind w:firstLine="640" w:firstLineChars="200"/>
        <w:jc w:val="left"/>
        <w:rPr>
          <w:rFonts w:hint="eastAsia" w:ascii="仿宋" w:hAnsi="仿宋" w:eastAsia="仿宋" w:cs="仿宋_GB2312"/>
          <w:sz w:val="32"/>
          <w:szCs w:val="32"/>
          <w:lang w:val="en-US" w:eastAsia="zh-CN"/>
        </w:rPr>
      </w:pPr>
      <w:r>
        <w:rPr>
          <w:rFonts w:hint="eastAsia" w:ascii="仿宋" w:hAnsi="仿宋" w:eastAsia="仿宋" w:cs="仿宋_GB2312"/>
          <w:sz w:val="32"/>
          <w:szCs w:val="32"/>
        </w:rPr>
        <w:t>（一）</w:t>
      </w:r>
      <w:r>
        <w:rPr>
          <w:rFonts w:hint="eastAsia" w:ascii="仿宋" w:hAnsi="仿宋" w:eastAsia="仿宋" w:cs="仿宋_GB2312"/>
          <w:sz w:val="32"/>
          <w:szCs w:val="32"/>
          <w:lang w:val="en-US" w:eastAsia="zh-CN"/>
        </w:rPr>
        <w:t>国家医疗保障局 财政部《关于做好2019年</w:t>
      </w:r>
    </w:p>
    <w:p>
      <w:pPr>
        <w:widowControl/>
        <w:ind w:firstLine="640" w:firstLineChars="200"/>
        <w:jc w:val="lef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城乡居民基本医疗保障工作的通知》（医保发﹝2019﹞30号）</w:t>
      </w:r>
    </w:p>
    <w:p>
      <w:pPr>
        <w:widowControl/>
        <w:ind w:left="958" w:leftChars="304" w:hanging="320" w:hangingChars="100"/>
        <w:jc w:val="left"/>
        <w:rPr>
          <w:rFonts w:hint="eastAsia" w:ascii="仿宋" w:hAnsi="仿宋" w:eastAsia="仿宋" w:cs="仿宋_GB2312"/>
          <w:sz w:val="32"/>
          <w:szCs w:val="32"/>
          <w:lang w:val="en-US" w:eastAsia="zh-CN"/>
        </w:rPr>
      </w:pPr>
      <w:r>
        <w:rPr>
          <w:rFonts w:hint="eastAsia" w:ascii="仿宋" w:hAnsi="仿宋" w:eastAsia="仿宋" w:cs="仿宋_GB2312"/>
          <w:sz w:val="32"/>
          <w:szCs w:val="32"/>
          <w:lang w:val="en-US" w:eastAsia="zh-CN"/>
        </w:rPr>
        <w:t>（二）《关于调整城乡居民基本医疗保险有关筹资和待遇标准的通知》（徐医保待【2019】100号）</w:t>
      </w:r>
    </w:p>
    <w:p>
      <w:pPr>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eastAsia="zh-CN"/>
        </w:rPr>
        <w:t>三</w:t>
      </w:r>
      <w:r>
        <w:rPr>
          <w:rFonts w:hint="eastAsia" w:ascii="仿宋" w:hAnsi="仿宋" w:eastAsia="仿宋" w:cs="仿宋_GB2312"/>
          <w:sz w:val="32"/>
          <w:szCs w:val="32"/>
        </w:rPr>
        <w:t>）《徐州市城乡居民基本医疗保险的实施办法》（徐政规〔</w:t>
      </w:r>
      <w:r>
        <w:rPr>
          <w:rFonts w:ascii="仿宋" w:hAnsi="仿宋" w:eastAsia="仿宋" w:cs="仿宋_GB2312"/>
          <w:sz w:val="32"/>
          <w:szCs w:val="32"/>
        </w:rPr>
        <w:t>201</w:t>
      </w:r>
      <w:r>
        <w:rPr>
          <w:rFonts w:hint="eastAsia" w:ascii="仿宋" w:hAnsi="仿宋" w:eastAsia="仿宋" w:cs="仿宋_GB2312"/>
          <w:sz w:val="32"/>
          <w:szCs w:val="32"/>
        </w:rPr>
        <w:t>7〕3号）</w:t>
      </w:r>
    </w:p>
    <w:p>
      <w:pPr>
        <w:ind w:firstLine="640" w:firstLineChars="200"/>
        <w:rPr>
          <w:rFonts w:hint="eastAsia"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sz w:val="32"/>
          <w:szCs w:val="32"/>
          <w:lang w:eastAsia="zh-CN"/>
        </w:rPr>
        <w:t>四</w:t>
      </w:r>
      <w:r>
        <w:rPr>
          <w:rFonts w:hint="eastAsia" w:ascii="仿宋" w:hAnsi="仿宋" w:eastAsia="仿宋" w:cs="仿宋_GB2312"/>
          <w:sz w:val="32"/>
          <w:szCs w:val="32"/>
        </w:rPr>
        <w:t>）市政府办公室《</w:t>
      </w:r>
      <w:r>
        <w:rPr>
          <w:rFonts w:hint="eastAsia" w:ascii="仿宋" w:hAnsi="仿宋" w:eastAsia="仿宋" w:cs="仿宋_GB2312"/>
          <w:sz w:val="32"/>
          <w:szCs w:val="32"/>
          <w:lang w:val="en-US" w:eastAsia="zh-CN"/>
        </w:rPr>
        <w:t xml:space="preserve"> 市政府办公室关于调整徐州市城乡居民基本医疗保险有关政策的通知》</w:t>
      </w:r>
      <w:r>
        <w:rPr>
          <w:rFonts w:hint="eastAsia" w:ascii="仿宋" w:hAnsi="仿宋" w:eastAsia="仿宋" w:cs="仿宋_GB2312"/>
          <w:sz w:val="32"/>
          <w:szCs w:val="32"/>
        </w:rPr>
        <w:t>（徐政办发〔</w:t>
      </w:r>
      <w:r>
        <w:rPr>
          <w:rFonts w:ascii="仿宋" w:hAnsi="仿宋" w:eastAsia="仿宋" w:cs="仿宋_GB2312"/>
          <w:sz w:val="32"/>
          <w:szCs w:val="32"/>
        </w:rPr>
        <w:t>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179</w:t>
      </w:r>
      <w:r>
        <w:rPr>
          <w:rFonts w:hint="eastAsia" w:ascii="仿宋" w:hAnsi="仿宋" w:eastAsia="仿宋" w:cs="仿宋_GB2312"/>
          <w:sz w:val="32"/>
          <w:szCs w:val="32"/>
        </w:rPr>
        <w:t>号）</w:t>
      </w:r>
    </w:p>
    <w:p>
      <w:pPr>
        <w:ind w:firstLine="640" w:firstLineChars="200"/>
        <w:rPr>
          <w:rFonts w:hint="eastAsia" w:ascii="仿宋" w:hAnsi="仿宋" w:eastAsia="仿宋" w:cs="仿宋_GB2312"/>
          <w:sz w:val="32"/>
          <w:szCs w:val="32"/>
        </w:rPr>
      </w:pPr>
      <w:r>
        <w:rPr>
          <w:rFonts w:hint="eastAsia" w:ascii="仿宋" w:hAnsi="仿宋" w:eastAsia="仿宋" w:cs="仿宋_GB2312"/>
          <w:sz w:val="32"/>
          <w:szCs w:val="32"/>
          <w:lang w:eastAsia="zh-CN"/>
        </w:rPr>
        <w:t>（五）</w:t>
      </w:r>
      <w:r>
        <w:rPr>
          <w:rFonts w:hint="eastAsia" w:ascii="仿宋" w:hAnsi="仿宋" w:eastAsia="仿宋" w:cs="仿宋_GB2312"/>
          <w:sz w:val="32"/>
          <w:szCs w:val="32"/>
        </w:rPr>
        <w:t>市政府办公室《关于建立徐州市市区基本照护保险制度制度的实施意见</w:t>
      </w:r>
      <w:r>
        <w:rPr>
          <w:rFonts w:hint="eastAsia" w:ascii="仿宋" w:hAnsi="仿宋" w:eastAsia="仿宋" w:cs="仿宋_GB2312"/>
          <w:sz w:val="32"/>
          <w:szCs w:val="32"/>
          <w:lang w:eastAsia="zh-CN"/>
        </w:rPr>
        <w:t>》</w:t>
      </w:r>
      <w:r>
        <w:rPr>
          <w:rFonts w:hint="eastAsia" w:ascii="仿宋" w:hAnsi="仿宋" w:eastAsia="仿宋" w:cs="仿宋_GB2312"/>
          <w:sz w:val="32"/>
          <w:szCs w:val="32"/>
        </w:rPr>
        <w:t>（徐政办发〔</w:t>
      </w:r>
      <w:r>
        <w:rPr>
          <w:rFonts w:ascii="仿宋" w:hAnsi="仿宋" w:eastAsia="仿宋" w:cs="仿宋_GB2312"/>
          <w:sz w:val="32"/>
          <w:szCs w:val="32"/>
        </w:rPr>
        <w:t>201</w:t>
      </w:r>
      <w:r>
        <w:rPr>
          <w:rFonts w:hint="eastAsia" w:ascii="仿宋" w:hAnsi="仿宋" w:eastAsia="仿宋" w:cs="仿宋_GB2312"/>
          <w:sz w:val="32"/>
          <w:szCs w:val="32"/>
        </w:rPr>
        <w:t>7〕18号）</w:t>
      </w:r>
    </w:p>
    <w:p>
      <w:pPr>
        <w:ind w:firstLine="640" w:firstLineChars="200"/>
        <w:rPr>
          <w:rFonts w:hint="eastAsia" w:ascii="黑体" w:hAnsi="黑体" w:eastAsia="黑体" w:cs="仿宋_GB2312"/>
          <w:sz w:val="32"/>
          <w:szCs w:val="32"/>
        </w:rPr>
      </w:pPr>
      <w:r>
        <w:rPr>
          <w:rFonts w:hint="eastAsia" w:ascii="黑体" w:hAnsi="黑体" w:eastAsia="黑体" w:cs="仿宋_GB2312"/>
          <w:sz w:val="32"/>
          <w:szCs w:val="32"/>
        </w:rPr>
        <w:t>二、参保范围</w:t>
      </w:r>
    </w:p>
    <w:p>
      <w:pPr>
        <w:ind w:firstLine="640" w:firstLineChars="200"/>
        <w:rPr>
          <w:rFonts w:ascii="仿宋" w:hAnsi="仿宋" w:eastAsia="仿宋"/>
          <w:sz w:val="32"/>
          <w:szCs w:val="32"/>
        </w:rPr>
      </w:pPr>
      <w:r>
        <w:rPr>
          <w:rFonts w:ascii="仿宋" w:hAnsi="仿宋" w:eastAsia="仿宋"/>
          <w:sz w:val="32"/>
          <w:szCs w:val="32"/>
        </w:rPr>
        <w:t>本</w:t>
      </w:r>
      <w:r>
        <w:rPr>
          <w:rFonts w:hint="eastAsia" w:ascii="仿宋" w:hAnsi="仿宋" w:eastAsia="仿宋"/>
          <w:sz w:val="32"/>
          <w:szCs w:val="32"/>
        </w:rPr>
        <w:t>市</w:t>
      </w:r>
      <w:r>
        <w:rPr>
          <w:rFonts w:ascii="仿宋" w:hAnsi="仿宋" w:eastAsia="仿宋"/>
          <w:sz w:val="32"/>
          <w:szCs w:val="32"/>
        </w:rPr>
        <w:t>统筹区内各类全日制高等学校(含民办高校、独立学院、成人高校)、科研院所中接受普通高等学历教育的全日制本专科生、全日制研究生；全日制职业高中、中专、技校在籍学生（以下统称“大学生”）。</w:t>
      </w:r>
    </w:p>
    <w:p>
      <w:pPr>
        <w:pStyle w:val="4"/>
        <w:spacing w:line="360" w:lineRule="auto"/>
        <w:ind w:firstLine="640"/>
        <w:rPr>
          <w:rFonts w:hint="eastAsia" w:ascii="黑体" w:eastAsia="黑体"/>
          <w:sz w:val="32"/>
          <w:szCs w:val="32"/>
        </w:rPr>
      </w:pPr>
      <w:r>
        <w:rPr>
          <w:rFonts w:hint="eastAsia" w:ascii="黑体" w:eastAsia="黑体"/>
          <w:sz w:val="32"/>
          <w:szCs w:val="32"/>
        </w:rPr>
        <w:t>三、参保缴费标准</w:t>
      </w:r>
    </w:p>
    <w:p>
      <w:pPr>
        <w:numPr>
          <w:ilvl w:val="0"/>
          <w:numId w:val="0"/>
        </w:numPr>
        <w:spacing w:line="360" w:lineRule="auto"/>
        <w:ind w:firstLine="640" w:firstLineChars="200"/>
        <w:rPr>
          <w:rFonts w:hint="eastAsia" w:ascii="仿宋" w:hAnsi="仿宋" w:eastAsia="仿宋"/>
          <w:sz w:val="32"/>
          <w:szCs w:val="32"/>
        </w:rPr>
      </w:pPr>
      <w:r>
        <w:rPr>
          <w:rFonts w:hint="eastAsia" w:ascii="仿宋" w:hAnsi="仿宋" w:eastAsia="仿宋"/>
          <w:sz w:val="32"/>
          <w:szCs w:val="32"/>
          <w:lang w:val="en-US" w:eastAsia="zh-CN"/>
        </w:rPr>
        <w:t>(一)</w:t>
      </w:r>
      <w:r>
        <w:rPr>
          <w:rFonts w:hint="eastAsia" w:ascii="仿宋" w:hAnsi="仿宋" w:eastAsia="仿宋"/>
          <w:sz w:val="32"/>
          <w:szCs w:val="32"/>
        </w:rPr>
        <w:t>2017</w:t>
      </w:r>
      <w:r>
        <w:rPr>
          <w:rFonts w:hint="eastAsia" w:ascii="仿宋" w:hAnsi="仿宋" w:eastAsia="仿宋"/>
          <w:sz w:val="32"/>
          <w:szCs w:val="32"/>
          <w:lang w:eastAsia="zh-CN"/>
        </w:rPr>
        <w:t>级、</w:t>
      </w:r>
      <w:r>
        <w:rPr>
          <w:rFonts w:hint="eastAsia" w:ascii="仿宋" w:hAnsi="仿宋" w:eastAsia="仿宋"/>
          <w:sz w:val="32"/>
          <w:szCs w:val="32"/>
          <w:lang w:val="en-US" w:eastAsia="zh-CN"/>
        </w:rPr>
        <w:t>2018级、2019级、2020级</w:t>
      </w:r>
      <w:r>
        <w:rPr>
          <w:rFonts w:hint="eastAsia" w:ascii="仿宋" w:hAnsi="仿宋" w:eastAsia="仿宋"/>
          <w:sz w:val="32"/>
          <w:szCs w:val="32"/>
        </w:rPr>
        <w:t>均按</w:t>
      </w:r>
      <w:r>
        <w:rPr>
          <w:rFonts w:hint="eastAsia" w:ascii="仿宋" w:hAnsi="仿宋" w:eastAsia="仿宋" w:cs="仿宋_GB2312"/>
          <w:sz w:val="32"/>
          <w:szCs w:val="32"/>
        </w:rPr>
        <w:t>徐政</w:t>
      </w:r>
      <w:r>
        <w:rPr>
          <w:rFonts w:hint="eastAsia" w:ascii="仿宋" w:hAnsi="仿宋" w:eastAsia="仿宋" w:cs="仿宋_GB2312"/>
          <w:sz w:val="32"/>
          <w:szCs w:val="32"/>
          <w:lang w:eastAsia="zh-CN"/>
        </w:rPr>
        <w:t>办发</w:t>
      </w:r>
      <w:r>
        <w:rPr>
          <w:rFonts w:hint="eastAsia" w:ascii="仿宋" w:hAnsi="仿宋" w:eastAsia="仿宋" w:cs="仿宋_GB2312"/>
          <w:sz w:val="32"/>
          <w:szCs w:val="32"/>
        </w:rPr>
        <w:t>〔</w:t>
      </w:r>
      <w:r>
        <w:rPr>
          <w:rFonts w:ascii="仿宋" w:hAnsi="仿宋" w:eastAsia="仿宋" w:cs="仿宋_GB2312"/>
          <w:sz w:val="32"/>
          <w:szCs w:val="32"/>
        </w:rPr>
        <w:t>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w:t>
      </w:r>
      <w:r>
        <w:rPr>
          <w:rFonts w:hint="eastAsia" w:ascii="仿宋" w:hAnsi="仿宋" w:eastAsia="仿宋" w:cs="仿宋_GB2312"/>
          <w:sz w:val="32"/>
          <w:szCs w:val="32"/>
          <w:lang w:val="en-US" w:eastAsia="zh-CN"/>
        </w:rPr>
        <w:t>179</w:t>
      </w:r>
      <w:r>
        <w:rPr>
          <w:rFonts w:hint="eastAsia" w:ascii="仿宋" w:hAnsi="仿宋" w:eastAsia="仿宋" w:cs="仿宋_GB2312"/>
          <w:sz w:val="32"/>
          <w:szCs w:val="32"/>
        </w:rPr>
        <w:t>号</w:t>
      </w:r>
      <w:r>
        <w:rPr>
          <w:rFonts w:hint="eastAsia" w:ascii="仿宋" w:hAnsi="仿宋" w:eastAsia="仿宋" w:cs="仿宋_GB2312"/>
          <w:sz w:val="32"/>
          <w:szCs w:val="32"/>
          <w:lang w:eastAsia="zh-CN"/>
        </w:rPr>
        <w:t>文标准</w:t>
      </w:r>
      <w:r>
        <w:rPr>
          <w:rFonts w:hint="eastAsia" w:ascii="仿宋" w:hAnsi="仿宋" w:eastAsia="仿宋"/>
          <w:sz w:val="32"/>
          <w:szCs w:val="32"/>
          <w:lang w:eastAsia="zh-CN"/>
        </w:rPr>
        <w:t>执</w:t>
      </w:r>
      <w:r>
        <w:rPr>
          <w:rFonts w:hint="eastAsia" w:ascii="仿宋" w:hAnsi="仿宋" w:eastAsia="仿宋"/>
          <w:sz w:val="32"/>
          <w:szCs w:val="32"/>
        </w:rPr>
        <w:t>行</w:t>
      </w:r>
      <w:r>
        <w:rPr>
          <w:rFonts w:hint="eastAsia" w:ascii="仿宋" w:hAnsi="仿宋" w:eastAsia="仿宋"/>
          <w:sz w:val="32"/>
          <w:szCs w:val="32"/>
          <w:lang w:eastAsia="zh-CN"/>
        </w:rPr>
        <w:t>，</w:t>
      </w:r>
      <w:r>
        <w:rPr>
          <w:rFonts w:hint="eastAsia" w:ascii="仿宋" w:hAnsi="仿宋" w:eastAsia="仿宋"/>
          <w:sz w:val="32"/>
          <w:szCs w:val="32"/>
        </w:rPr>
        <w:t>即：</w:t>
      </w:r>
      <w:r>
        <w:rPr>
          <w:rFonts w:hint="eastAsia" w:ascii="仿宋" w:hAnsi="仿宋" w:eastAsia="仿宋"/>
          <w:sz w:val="32"/>
          <w:szCs w:val="32"/>
          <w:lang w:eastAsia="zh-CN"/>
        </w:rPr>
        <w:t>每人每年</w:t>
      </w:r>
      <w:r>
        <w:rPr>
          <w:rFonts w:hint="eastAsia" w:ascii="仿宋" w:hAnsi="仿宋" w:eastAsia="仿宋"/>
          <w:sz w:val="32"/>
          <w:szCs w:val="32"/>
        </w:rPr>
        <w:t>缴</w:t>
      </w:r>
      <w:r>
        <w:rPr>
          <w:rFonts w:hint="eastAsia" w:ascii="仿宋" w:hAnsi="仿宋" w:eastAsia="仿宋"/>
          <w:sz w:val="32"/>
          <w:szCs w:val="32"/>
          <w:lang w:eastAsia="zh-CN"/>
        </w:rPr>
        <w:t>纳</w:t>
      </w:r>
      <w:r>
        <w:rPr>
          <w:rFonts w:hint="eastAsia" w:ascii="仿宋" w:hAnsi="仿宋" w:eastAsia="仿宋"/>
          <w:sz w:val="32"/>
          <w:szCs w:val="32"/>
        </w:rPr>
        <w:t>220元(含照护险费10元，从高校的门诊包干中支出)</w:t>
      </w:r>
      <w:r>
        <w:rPr>
          <w:rFonts w:hint="eastAsia" w:ascii="仿宋" w:hAnsi="仿宋" w:eastAsia="仿宋"/>
          <w:sz w:val="32"/>
          <w:szCs w:val="32"/>
          <w:lang w:eastAsia="zh-CN"/>
        </w:rPr>
        <w:t>。</w:t>
      </w:r>
      <w:r>
        <w:rPr>
          <w:rFonts w:hint="eastAsia" w:ascii="仿宋" w:hAnsi="仿宋" w:eastAsia="仿宋"/>
          <w:sz w:val="32"/>
          <w:szCs w:val="32"/>
        </w:rPr>
        <w:t xml:space="preserve">在校大学生均由高校统一组织参保登记，代收代缴城乡居民医保费。 </w:t>
      </w:r>
    </w:p>
    <w:p>
      <w:pPr>
        <w:spacing w:line="360" w:lineRule="auto"/>
        <w:ind w:firstLine="640" w:firstLineChars="20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eastAsia="zh-CN"/>
        </w:rPr>
        <w:t>二</w:t>
      </w:r>
      <w:r>
        <w:rPr>
          <w:rFonts w:hint="eastAsia" w:ascii="仿宋" w:hAnsi="仿宋" w:eastAsia="仿宋"/>
          <w:sz w:val="32"/>
          <w:szCs w:val="32"/>
        </w:rPr>
        <w:t>）被认定为建档立卡低收入人口等医疗救助对象的大学生，其个人缴费</w:t>
      </w:r>
      <w:r>
        <w:rPr>
          <w:rFonts w:hint="eastAsia" w:ascii="仿宋" w:hAnsi="仿宋" w:eastAsia="仿宋"/>
          <w:sz w:val="32"/>
          <w:szCs w:val="32"/>
          <w:lang w:eastAsia="zh-CN"/>
        </w:rPr>
        <w:t>部分</w:t>
      </w:r>
      <w:r>
        <w:rPr>
          <w:rFonts w:hint="eastAsia" w:ascii="仿宋" w:hAnsi="仿宋" w:eastAsia="仿宋"/>
          <w:sz w:val="32"/>
          <w:szCs w:val="32"/>
        </w:rPr>
        <w:t>按高校隶属关系，由同级财政给予资助。</w:t>
      </w:r>
      <w:r>
        <w:rPr>
          <w:rFonts w:hint="eastAsia" w:ascii="仿宋" w:hAnsi="仿宋" w:eastAsia="仿宋"/>
          <w:sz w:val="32"/>
          <w:szCs w:val="32"/>
          <w:lang w:eastAsia="zh-CN"/>
        </w:rPr>
        <w:t>各高校将认证材料统一整理备案。</w:t>
      </w:r>
    </w:p>
    <w:p>
      <w:pPr>
        <w:pStyle w:val="4"/>
        <w:spacing w:line="360" w:lineRule="auto"/>
        <w:ind w:firstLine="640"/>
        <w:rPr>
          <w:rFonts w:ascii="黑体" w:eastAsia="黑体"/>
          <w:sz w:val="32"/>
          <w:szCs w:val="32"/>
        </w:rPr>
      </w:pPr>
      <w:r>
        <w:rPr>
          <w:rFonts w:hint="eastAsia" w:ascii="黑体" w:eastAsia="黑体"/>
          <w:sz w:val="32"/>
          <w:szCs w:val="32"/>
        </w:rPr>
        <w:t>四、医保待遇享受期</w:t>
      </w:r>
    </w:p>
    <w:p>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 大学生的医疗保险待遇期为一个自然年度，即20</w:t>
      </w:r>
      <w:r>
        <w:rPr>
          <w:rFonts w:hint="eastAsia" w:ascii="仿宋" w:hAnsi="仿宋" w:eastAsia="仿宋"/>
          <w:sz w:val="32"/>
          <w:szCs w:val="32"/>
          <w:lang w:val="en-US" w:eastAsia="zh-CN"/>
        </w:rPr>
        <w:t>21</w:t>
      </w:r>
      <w:r>
        <w:rPr>
          <w:rFonts w:hint="eastAsia" w:ascii="仿宋" w:hAnsi="仿宋" w:eastAsia="仿宋"/>
          <w:sz w:val="32"/>
          <w:szCs w:val="32"/>
        </w:rPr>
        <w:t>年1月1日至12月31日。</w:t>
      </w:r>
      <w:r>
        <w:rPr>
          <w:rFonts w:hint="eastAsia" w:ascii="仿宋" w:hAnsi="仿宋" w:eastAsia="仿宋"/>
          <w:sz w:val="32"/>
          <w:szCs w:val="32"/>
          <w:lang w:val="en-US" w:eastAsia="zh-CN"/>
        </w:rPr>
        <w:t xml:space="preserve"> 2020</w:t>
      </w:r>
      <w:r>
        <w:rPr>
          <w:rFonts w:hint="eastAsia" w:ascii="仿宋" w:hAnsi="仿宋" w:eastAsia="仿宋"/>
          <w:sz w:val="32"/>
          <w:szCs w:val="32"/>
        </w:rPr>
        <w:t>年度入学新生免缴</w:t>
      </w:r>
      <w:r>
        <w:rPr>
          <w:rFonts w:hint="eastAsia" w:ascii="仿宋" w:hAnsi="仿宋" w:eastAsia="仿宋"/>
          <w:sz w:val="32"/>
          <w:szCs w:val="32"/>
          <w:lang w:val="en-US" w:eastAsia="zh-CN"/>
        </w:rPr>
        <w:t>2020</w:t>
      </w:r>
      <w:r>
        <w:rPr>
          <w:rFonts w:hint="eastAsia" w:ascii="仿宋" w:hAnsi="仿宋" w:eastAsia="仿宋"/>
          <w:sz w:val="32"/>
          <w:szCs w:val="32"/>
        </w:rPr>
        <w:t>年9至12月份的医保费，均可享受</w:t>
      </w:r>
      <w:r>
        <w:rPr>
          <w:rFonts w:hint="eastAsia" w:ascii="仿宋" w:hAnsi="仿宋" w:eastAsia="仿宋"/>
          <w:sz w:val="32"/>
          <w:szCs w:val="32"/>
          <w:lang w:eastAsia="zh-CN"/>
        </w:rPr>
        <w:t>当年</w:t>
      </w:r>
      <w:r>
        <w:rPr>
          <w:rFonts w:hint="eastAsia" w:ascii="仿宋" w:hAnsi="仿宋" w:eastAsia="仿宋"/>
          <w:sz w:val="32"/>
          <w:szCs w:val="32"/>
        </w:rPr>
        <w:t>9至12月份的医保待遇。</w:t>
      </w:r>
    </w:p>
    <w:p>
      <w:pPr>
        <w:spacing w:line="360" w:lineRule="auto"/>
        <w:ind w:firstLine="640" w:firstLineChars="200"/>
        <w:rPr>
          <w:rFonts w:ascii="黑体" w:eastAsia="黑体"/>
          <w:sz w:val="32"/>
          <w:szCs w:val="32"/>
        </w:rPr>
      </w:pPr>
      <w:r>
        <w:rPr>
          <w:rFonts w:hint="eastAsia" w:ascii="黑体" w:eastAsia="黑体"/>
          <w:sz w:val="32"/>
          <w:szCs w:val="32"/>
        </w:rPr>
        <w:t>五、医保待遇</w:t>
      </w:r>
    </w:p>
    <w:p>
      <w:pPr>
        <w:spacing w:line="360" w:lineRule="auto"/>
        <w:ind w:firstLine="640" w:firstLineChars="200"/>
        <w:rPr>
          <w:rFonts w:hint="eastAsia" w:ascii="仿宋" w:hAnsi="仿宋" w:eastAsia="仿宋"/>
          <w:b/>
          <w:bCs/>
          <w:sz w:val="32"/>
          <w:szCs w:val="32"/>
        </w:rPr>
      </w:pPr>
      <w:r>
        <w:rPr>
          <w:rFonts w:hint="eastAsia" w:ascii="仿宋" w:hAnsi="仿宋" w:eastAsia="仿宋"/>
          <w:sz w:val="32"/>
          <w:szCs w:val="32"/>
        </w:rPr>
        <w:t xml:space="preserve"> </w:t>
      </w:r>
      <w:r>
        <w:rPr>
          <w:rFonts w:hint="eastAsia" w:ascii="仿宋" w:hAnsi="仿宋" w:eastAsia="仿宋"/>
          <w:b/>
          <w:bCs/>
          <w:sz w:val="32"/>
          <w:szCs w:val="32"/>
        </w:rPr>
        <w:t>（一）门诊待遇：</w:t>
      </w:r>
    </w:p>
    <w:p>
      <w:pPr>
        <w:spacing w:line="360" w:lineRule="auto"/>
        <w:ind w:firstLine="640" w:firstLineChars="200"/>
        <w:rPr>
          <w:rFonts w:hint="eastAsia" w:ascii="仿宋" w:hAnsi="仿宋" w:eastAsia="仿宋"/>
          <w:b/>
          <w:bCs/>
          <w:sz w:val="32"/>
          <w:szCs w:val="32"/>
        </w:rPr>
      </w:pPr>
      <w:r>
        <w:rPr>
          <w:rFonts w:hint="eastAsia" w:ascii="仿宋" w:hAnsi="仿宋" w:eastAsia="仿宋"/>
          <w:bCs/>
          <w:sz w:val="32"/>
          <w:szCs w:val="32"/>
        </w:rPr>
        <w:t>1.普通门诊待遇。</w:t>
      </w:r>
      <w:r>
        <w:rPr>
          <w:rFonts w:hint="eastAsia" w:ascii="仿宋" w:hAnsi="仿宋" w:eastAsia="仿宋"/>
          <w:sz w:val="32"/>
          <w:szCs w:val="32"/>
        </w:rPr>
        <w:t>驻徐高校</w:t>
      </w:r>
      <w:r>
        <w:rPr>
          <w:rFonts w:hint="eastAsia" w:ascii="仿宋" w:hAnsi="仿宋" w:eastAsia="仿宋"/>
          <w:sz w:val="32"/>
          <w:szCs w:val="32"/>
          <w:lang w:eastAsia="zh-CN"/>
        </w:rPr>
        <w:t>统一</w:t>
      </w:r>
      <w:r>
        <w:rPr>
          <w:rFonts w:hint="eastAsia" w:ascii="仿宋" w:hAnsi="仿宋" w:eastAsia="仿宋"/>
          <w:sz w:val="32"/>
          <w:szCs w:val="32"/>
        </w:rPr>
        <w:t>参保缴费后均实行门诊费用包干使用办法，大学生门诊看病发生的</w:t>
      </w:r>
      <w:r>
        <w:rPr>
          <w:rFonts w:hint="eastAsia" w:ascii="仿宋" w:hAnsi="仿宋" w:eastAsia="仿宋"/>
          <w:sz w:val="32"/>
          <w:szCs w:val="32"/>
          <w:lang w:eastAsia="zh-CN"/>
        </w:rPr>
        <w:t>符合医保范围内规定的</w:t>
      </w:r>
      <w:r>
        <w:rPr>
          <w:rFonts w:hint="eastAsia" w:ascii="仿宋" w:hAnsi="仿宋" w:eastAsia="仿宋"/>
          <w:sz w:val="32"/>
          <w:szCs w:val="32"/>
        </w:rPr>
        <w:t>医疗费用，由高校自行组织实施报销。一个统筹年度报销上限</w:t>
      </w:r>
      <w:r>
        <w:rPr>
          <w:rFonts w:hint="eastAsia" w:ascii="仿宋" w:hAnsi="仿宋" w:eastAsia="仿宋"/>
          <w:sz w:val="32"/>
          <w:szCs w:val="32"/>
          <w:lang w:val="en-US" w:eastAsia="zh-CN"/>
        </w:rPr>
        <w:t>900</w:t>
      </w:r>
      <w:r>
        <w:rPr>
          <w:rFonts w:hint="eastAsia" w:ascii="仿宋" w:hAnsi="仿宋" w:eastAsia="仿宋"/>
          <w:sz w:val="32"/>
          <w:szCs w:val="32"/>
        </w:rPr>
        <w:t>元。</w:t>
      </w:r>
    </w:p>
    <w:p>
      <w:pPr>
        <w:spacing w:line="360" w:lineRule="auto"/>
        <w:ind w:firstLine="640" w:firstLineChars="200"/>
        <w:rPr>
          <w:rFonts w:ascii="仿宋" w:hAnsi="仿宋" w:eastAsia="仿宋"/>
          <w:b/>
          <w:bCs/>
          <w:sz w:val="32"/>
          <w:szCs w:val="32"/>
        </w:rPr>
      </w:pPr>
      <w:r>
        <w:rPr>
          <w:rFonts w:hint="eastAsia" w:ascii="仿宋" w:hAnsi="仿宋" w:eastAsia="仿宋"/>
          <w:sz w:val="32"/>
          <w:szCs w:val="32"/>
        </w:rPr>
        <w:t>2.门诊特种病待遇。如恶性肿瘤放化疗、尿毒症透析、白血病等门诊费用由医保中心按规定给予报销。</w:t>
      </w:r>
    </w:p>
    <w:p>
      <w:pPr>
        <w:spacing w:line="360" w:lineRule="auto"/>
        <w:ind w:firstLine="640" w:firstLineChars="200"/>
        <w:rPr>
          <w:rFonts w:ascii="仿宋" w:hAnsi="仿宋" w:eastAsia="仿宋"/>
          <w:b/>
          <w:bCs/>
          <w:sz w:val="32"/>
          <w:szCs w:val="32"/>
        </w:rPr>
      </w:pPr>
      <w:r>
        <w:rPr>
          <w:rFonts w:hint="eastAsia" w:ascii="仿宋" w:hAnsi="仿宋" w:eastAsia="仿宋"/>
          <w:sz w:val="32"/>
          <w:szCs w:val="32"/>
        </w:rPr>
        <w:t>（二）</w:t>
      </w:r>
      <w:r>
        <w:rPr>
          <w:rFonts w:hint="eastAsia" w:ascii="仿宋" w:hAnsi="仿宋" w:eastAsia="仿宋"/>
          <w:b/>
          <w:bCs/>
          <w:sz w:val="32"/>
          <w:szCs w:val="32"/>
        </w:rPr>
        <w:t>住院待遇</w:t>
      </w:r>
    </w:p>
    <w:p>
      <w:pPr>
        <w:spacing w:line="360" w:lineRule="auto"/>
        <w:ind w:firstLine="640" w:firstLineChars="200"/>
        <w:rPr>
          <w:rFonts w:hint="eastAsia" w:ascii="仿宋" w:hAnsi="仿宋" w:eastAsia="仿宋"/>
          <w:sz w:val="32"/>
          <w:szCs w:val="32"/>
          <w:lang w:val="en-US" w:eastAsia="zh-CN"/>
        </w:rPr>
      </w:pPr>
      <w:r>
        <w:rPr>
          <w:rFonts w:hint="eastAsia" w:ascii="仿宋" w:hAnsi="仿宋" w:eastAsia="仿宋"/>
          <w:sz w:val="32"/>
          <w:szCs w:val="32"/>
        </w:rPr>
        <w:t>参保大学生因病需住院治疗，可持社会保障卡直接到市区各医保定点医院就医，刷卡结算。</w:t>
      </w:r>
      <w:r>
        <w:rPr>
          <w:rFonts w:hint="eastAsia" w:ascii="仿宋" w:hAnsi="仿宋" w:eastAsia="仿宋"/>
          <w:sz w:val="32"/>
          <w:szCs w:val="32"/>
          <w:lang w:eastAsia="zh-CN"/>
        </w:rPr>
        <w:t>未办理</w:t>
      </w:r>
      <w:r>
        <w:rPr>
          <w:rFonts w:hint="eastAsia" w:ascii="仿宋" w:hAnsi="仿宋" w:eastAsia="仿宋"/>
          <w:sz w:val="32"/>
          <w:szCs w:val="32"/>
        </w:rPr>
        <w:t>社会保障卡</w:t>
      </w:r>
      <w:r>
        <w:rPr>
          <w:rFonts w:hint="eastAsia" w:ascii="仿宋" w:hAnsi="仿宋" w:eastAsia="仿宋"/>
          <w:sz w:val="32"/>
          <w:szCs w:val="32"/>
          <w:lang w:eastAsia="zh-CN"/>
        </w:rPr>
        <w:t>请参考附件《各银行社保卡办理点》自行办理。</w:t>
      </w:r>
    </w:p>
    <w:p>
      <w:pPr>
        <w:spacing w:line="360" w:lineRule="auto"/>
        <w:ind w:firstLine="640" w:firstLineChars="200"/>
        <w:rPr>
          <w:rFonts w:ascii="仿宋" w:hAnsi="仿宋" w:eastAsia="仿宋"/>
          <w:sz w:val="32"/>
          <w:szCs w:val="32"/>
        </w:rPr>
      </w:pPr>
      <w:r>
        <w:rPr>
          <w:rFonts w:hint="eastAsia" w:ascii="仿宋" w:hAnsi="仿宋" w:eastAsia="仿宋"/>
          <w:sz w:val="32"/>
          <w:szCs w:val="32"/>
        </w:rPr>
        <w:t xml:space="preserve">1、住院报销比例： </w:t>
      </w:r>
    </w:p>
    <w:p>
      <w:pPr>
        <w:tabs>
          <w:tab w:val="left" w:pos="3280"/>
          <w:tab w:val="left" w:pos="5480"/>
          <w:tab w:val="left" w:pos="6560"/>
          <w:tab w:val="left" w:pos="7640"/>
        </w:tabs>
        <w:spacing w:line="360" w:lineRule="auto"/>
        <w:jc w:val="center"/>
        <w:rPr>
          <w:rFonts w:hint="eastAsia" w:ascii="仿宋" w:hAnsi="仿宋" w:eastAsia="仿宋"/>
          <w:b/>
          <w:bCs/>
          <w:sz w:val="32"/>
          <w:szCs w:val="32"/>
        </w:rPr>
      </w:pPr>
      <w:r>
        <w:rPr>
          <w:rFonts w:hint="eastAsia" w:ascii="仿宋" w:hAnsi="仿宋" w:eastAsia="仿宋"/>
          <w:b/>
          <w:bCs/>
          <w:sz w:val="32"/>
          <w:szCs w:val="32"/>
        </w:rPr>
        <w:t>除起付标准以上住院费用符合医保政策范围内的报销比例（%）</w:t>
      </w:r>
    </w:p>
    <w:p>
      <w:pPr>
        <w:tabs>
          <w:tab w:val="left" w:pos="3280"/>
          <w:tab w:val="left" w:pos="5480"/>
          <w:tab w:val="left" w:pos="6560"/>
          <w:tab w:val="left" w:pos="7640"/>
        </w:tabs>
        <w:spacing w:line="360" w:lineRule="auto"/>
        <w:jc w:val="center"/>
        <w:rPr>
          <w:rFonts w:hint="eastAsia" w:ascii="仿宋" w:hAnsi="仿宋" w:eastAsia="仿宋"/>
          <w:b/>
          <w:bCs/>
          <w:sz w:val="32"/>
          <w:szCs w:val="32"/>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4477"/>
        <w:gridCol w:w="925"/>
        <w:gridCol w:w="850"/>
        <w:gridCol w:w="85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345" w:hRule="atLeast"/>
          <w:jc w:val="center"/>
        </w:trPr>
        <w:tc>
          <w:tcPr>
            <w:tcW w:w="4477" w:type="dxa"/>
            <w:vMerge w:val="restart"/>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医疗费用段</w:t>
            </w:r>
          </w:p>
        </w:tc>
        <w:tc>
          <w:tcPr>
            <w:tcW w:w="2632" w:type="dxa"/>
            <w:gridSpan w:val="3"/>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定点医疗机构级别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cantSplit/>
          <w:trHeight w:val="275" w:hRule="atLeast"/>
          <w:jc w:val="center"/>
        </w:trPr>
        <w:tc>
          <w:tcPr>
            <w:tcW w:w="4477" w:type="dxa"/>
            <w:vMerge w:val="continue"/>
            <w:noWrap w:val="0"/>
            <w:vAlign w:val="center"/>
          </w:tcPr>
          <w:p>
            <w:pPr>
              <w:spacing w:line="360" w:lineRule="auto"/>
              <w:jc w:val="center"/>
              <w:rPr>
                <w:rFonts w:ascii="仿宋" w:hAnsi="仿宋" w:eastAsia="仿宋"/>
                <w:color w:val="000000"/>
                <w:sz w:val="32"/>
                <w:szCs w:val="32"/>
              </w:rPr>
            </w:pPr>
          </w:p>
        </w:tc>
        <w:tc>
          <w:tcPr>
            <w:tcW w:w="925"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一级</w:t>
            </w:r>
          </w:p>
        </w:tc>
        <w:tc>
          <w:tcPr>
            <w:tcW w:w="850"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二级</w:t>
            </w:r>
          </w:p>
        </w:tc>
        <w:tc>
          <w:tcPr>
            <w:tcW w:w="857"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三级</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43" w:hRule="atLeast"/>
          <w:jc w:val="center"/>
        </w:trPr>
        <w:tc>
          <w:tcPr>
            <w:tcW w:w="4477"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起付标准以上至10000元以下</w:t>
            </w:r>
          </w:p>
        </w:tc>
        <w:tc>
          <w:tcPr>
            <w:tcW w:w="925" w:type="dxa"/>
            <w:noWrap w:val="0"/>
            <w:tcMar>
              <w:top w:w="15" w:type="dxa"/>
              <w:left w:w="15" w:type="dxa"/>
              <w:bottom w:w="0" w:type="dxa"/>
              <w:right w:w="15" w:type="dxa"/>
            </w:tcMar>
            <w:vAlign w:val="center"/>
          </w:tcPr>
          <w:p>
            <w:pPr>
              <w:spacing w:line="360" w:lineRule="auto"/>
              <w:jc w:val="center"/>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90</w:t>
            </w:r>
          </w:p>
        </w:tc>
        <w:tc>
          <w:tcPr>
            <w:tcW w:w="850" w:type="dxa"/>
            <w:noWrap w:val="0"/>
            <w:tcMar>
              <w:top w:w="15" w:type="dxa"/>
              <w:left w:w="15" w:type="dxa"/>
              <w:bottom w:w="0" w:type="dxa"/>
              <w:right w:w="15" w:type="dxa"/>
            </w:tcMar>
            <w:vAlign w:val="center"/>
          </w:tcPr>
          <w:p>
            <w:pPr>
              <w:spacing w:line="360" w:lineRule="auto"/>
              <w:jc w:val="center"/>
              <w:rPr>
                <w:rFonts w:hint="eastAsia" w:ascii="仿宋" w:hAnsi="仿宋" w:eastAsia="仿宋"/>
                <w:color w:val="000000"/>
                <w:sz w:val="32"/>
                <w:szCs w:val="32"/>
              </w:rPr>
            </w:pPr>
            <w:r>
              <w:rPr>
                <w:rFonts w:hint="eastAsia" w:ascii="仿宋" w:hAnsi="仿宋" w:eastAsia="仿宋"/>
                <w:color w:val="000000"/>
                <w:sz w:val="32"/>
                <w:szCs w:val="32"/>
              </w:rPr>
              <w:t>80</w:t>
            </w:r>
          </w:p>
        </w:tc>
        <w:tc>
          <w:tcPr>
            <w:tcW w:w="857" w:type="dxa"/>
            <w:noWrap w:val="0"/>
            <w:tcMar>
              <w:top w:w="15" w:type="dxa"/>
              <w:left w:w="15" w:type="dxa"/>
              <w:bottom w:w="0" w:type="dxa"/>
              <w:right w:w="15" w:type="dxa"/>
            </w:tcMar>
            <w:vAlign w:val="center"/>
          </w:tcPr>
          <w:p>
            <w:pPr>
              <w:spacing w:line="360" w:lineRule="auto"/>
              <w:jc w:val="center"/>
              <w:rPr>
                <w:rFonts w:hint="eastAsia" w:ascii="仿宋" w:hAnsi="仿宋" w:eastAsia="仿宋"/>
                <w:color w:val="000000"/>
                <w:sz w:val="32"/>
                <w:szCs w:val="32"/>
              </w:rPr>
            </w:pPr>
            <w:r>
              <w:rPr>
                <w:rFonts w:hint="eastAsia" w:ascii="仿宋" w:hAnsi="仿宋" w:eastAsia="仿宋"/>
                <w:color w:val="000000"/>
                <w:sz w:val="32"/>
                <w:szCs w:val="32"/>
              </w:rPr>
              <w:t>75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315" w:hRule="atLeast"/>
          <w:jc w:val="center"/>
        </w:trPr>
        <w:tc>
          <w:tcPr>
            <w:tcW w:w="4477"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10000元至50000元</w:t>
            </w:r>
          </w:p>
        </w:tc>
        <w:tc>
          <w:tcPr>
            <w:tcW w:w="925" w:type="dxa"/>
            <w:noWrap w:val="0"/>
            <w:tcMar>
              <w:top w:w="15" w:type="dxa"/>
              <w:left w:w="15" w:type="dxa"/>
              <w:bottom w:w="0" w:type="dxa"/>
              <w:right w:w="15" w:type="dxa"/>
            </w:tcMar>
            <w:vAlign w:val="center"/>
          </w:tcPr>
          <w:p>
            <w:pPr>
              <w:spacing w:line="360" w:lineRule="auto"/>
              <w:jc w:val="center"/>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90</w:t>
            </w:r>
          </w:p>
        </w:tc>
        <w:tc>
          <w:tcPr>
            <w:tcW w:w="850" w:type="dxa"/>
            <w:noWrap w:val="0"/>
            <w:tcMar>
              <w:top w:w="15" w:type="dxa"/>
              <w:left w:w="15" w:type="dxa"/>
              <w:bottom w:w="0" w:type="dxa"/>
              <w:right w:w="15" w:type="dxa"/>
            </w:tcMar>
            <w:vAlign w:val="center"/>
          </w:tcPr>
          <w:p>
            <w:pPr>
              <w:spacing w:line="360" w:lineRule="auto"/>
              <w:jc w:val="center"/>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80</w:t>
            </w:r>
          </w:p>
        </w:tc>
        <w:tc>
          <w:tcPr>
            <w:tcW w:w="857" w:type="dxa"/>
            <w:noWrap w:val="0"/>
            <w:tcMar>
              <w:top w:w="15" w:type="dxa"/>
              <w:left w:w="15" w:type="dxa"/>
              <w:bottom w:w="0" w:type="dxa"/>
              <w:right w:w="15" w:type="dxa"/>
            </w:tcMar>
            <w:vAlign w:val="center"/>
          </w:tcPr>
          <w:p>
            <w:pPr>
              <w:spacing w:line="360" w:lineRule="auto"/>
              <w:jc w:val="center"/>
              <w:rPr>
                <w:rFonts w:hint="eastAsia" w:ascii="仿宋" w:hAnsi="仿宋" w:eastAsia="仿宋"/>
                <w:color w:val="000000"/>
                <w:sz w:val="32"/>
                <w:szCs w:val="32"/>
              </w:rPr>
            </w:pPr>
            <w:r>
              <w:rPr>
                <w:rFonts w:hint="eastAsia" w:ascii="仿宋" w:hAnsi="仿宋" w:eastAsia="仿宋"/>
                <w:color w:val="000000"/>
                <w:sz w:val="32"/>
                <w:szCs w:val="32"/>
              </w:rPr>
              <w:t>80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0" w:type="dxa"/>
            <w:bottom w:w="0" w:type="dxa"/>
            <w:right w:w="0" w:type="dxa"/>
          </w:tblCellMar>
        </w:tblPrEx>
        <w:trPr>
          <w:trHeight w:val="212" w:hRule="atLeast"/>
          <w:jc w:val="center"/>
        </w:trPr>
        <w:tc>
          <w:tcPr>
            <w:tcW w:w="4477" w:type="dxa"/>
            <w:noWrap w:val="0"/>
            <w:tcMar>
              <w:top w:w="15" w:type="dxa"/>
              <w:left w:w="15" w:type="dxa"/>
              <w:bottom w:w="0" w:type="dxa"/>
              <w:right w:w="15" w:type="dxa"/>
            </w:tcMar>
            <w:vAlign w:val="center"/>
          </w:tcPr>
          <w:p>
            <w:pPr>
              <w:spacing w:line="360" w:lineRule="auto"/>
              <w:jc w:val="center"/>
              <w:rPr>
                <w:rFonts w:ascii="仿宋" w:hAnsi="仿宋" w:eastAsia="仿宋"/>
                <w:color w:val="000000"/>
                <w:sz w:val="32"/>
                <w:szCs w:val="32"/>
              </w:rPr>
            </w:pPr>
            <w:r>
              <w:rPr>
                <w:rFonts w:hint="eastAsia" w:ascii="仿宋" w:hAnsi="仿宋" w:eastAsia="仿宋"/>
                <w:color w:val="000000"/>
                <w:sz w:val="32"/>
                <w:szCs w:val="32"/>
              </w:rPr>
              <w:t>50000元以上</w:t>
            </w:r>
          </w:p>
        </w:tc>
        <w:tc>
          <w:tcPr>
            <w:tcW w:w="925" w:type="dxa"/>
            <w:noWrap w:val="0"/>
            <w:tcMar>
              <w:top w:w="15" w:type="dxa"/>
              <w:left w:w="15" w:type="dxa"/>
              <w:bottom w:w="0" w:type="dxa"/>
              <w:right w:w="15" w:type="dxa"/>
            </w:tcMar>
            <w:vAlign w:val="center"/>
          </w:tcPr>
          <w:p>
            <w:pPr>
              <w:spacing w:line="360" w:lineRule="auto"/>
              <w:jc w:val="center"/>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90</w:t>
            </w:r>
          </w:p>
        </w:tc>
        <w:tc>
          <w:tcPr>
            <w:tcW w:w="850" w:type="dxa"/>
            <w:noWrap w:val="0"/>
            <w:tcMar>
              <w:top w:w="15" w:type="dxa"/>
              <w:left w:w="15" w:type="dxa"/>
              <w:bottom w:w="0" w:type="dxa"/>
              <w:right w:w="15" w:type="dxa"/>
            </w:tcMar>
            <w:vAlign w:val="center"/>
          </w:tcPr>
          <w:p>
            <w:pPr>
              <w:spacing w:line="360" w:lineRule="auto"/>
              <w:jc w:val="center"/>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80</w:t>
            </w:r>
          </w:p>
        </w:tc>
        <w:tc>
          <w:tcPr>
            <w:tcW w:w="857" w:type="dxa"/>
            <w:noWrap w:val="0"/>
            <w:tcMar>
              <w:top w:w="15" w:type="dxa"/>
              <w:left w:w="15" w:type="dxa"/>
              <w:bottom w:w="0" w:type="dxa"/>
              <w:right w:w="15" w:type="dxa"/>
            </w:tcMar>
            <w:vAlign w:val="center"/>
          </w:tcPr>
          <w:p>
            <w:pPr>
              <w:spacing w:line="360" w:lineRule="auto"/>
              <w:jc w:val="center"/>
              <w:rPr>
                <w:rFonts w:hint="eastAsia" w:ascii="仿宋" w:hAnsi="仿宋" w:eastAsia="仿宋"/>
                <w:color w:val="000000"/>
                <w:sz w:val="32"/>
                <w:szCs w:val="32"/>
              </w:rPr>
            </w:pPr>
            <w:r>
              <w:rPr>
                <w:rFonts w:hint="eastAsia" w:ascii="仿宋" w:hAnsi="仿宋" w:eastAsia="仿宋"/>
                <w:color w:val="000000"/>
                <w:sz w:val="32"/>
                <w:szCs w:val="32"/>
              </w:rPr>
              <w:t>85</w:t>
            </w:r>
          </w:p>
        </w:tc>
      </w:tr>
    </w:tbl>
    <w:p>
      <w:pPr>
        <w:spacing w:line="360" w:lineRule="auto"/>
        <w:ind w:left="160" w:leftChars="76" w:firstLine="480" w:firstLineChars="150"/>
        <w:rPr>
          <w:rFonts w:hint="eastAsia" w:ascii="仿宋" w:hAnsi="仿宋" w:eastAsia="仿宋"/>
          <w:bCs/>
          <w:sz w:val="32"/>
          <w:szCs w:val="32"/>
        </w:rPr>
      </w:pPr>
      <w:r>
        <w:rPr>
          <w:rFonts w:hint="eastAsia" w:ascii="仿宋" w:hAnsi="仿宋" w:eastAsia="仿宋"/>
          <w:bCs/>
          <w:sz w:val="32"/>
          <w:szCs w:val="32"/>
        </w:rPr>
        <w:t>2、一个统筹年度内的报销上限20万元，同时还可享受城乡居民大病保险待遇，即：属医保范围内的个人自付超过1.</w:t>
      </w:r>
      <w:r>
        <w:rPr>
          <w:rFonts w:hint="eastAsia" w:ascii="仿宋" w:hAnsi="仿宋" w:eastAsia="仿宋"/>
          <w:bCs/>
          <w:sz w:val="32"/>
          <w:szCs w:val="32"/>
          <w:lang w:val="en-US" w:eastAsia="zh-CN"/>
        </w:rPr>
        <w:t>6</w:t>
      </w:r>
      <w:r>
        <w:rPr>
          <w:rFonts w:hint="eastAsia" w:ascii="仿宋" w:hAnsi="仿宋" w:eastAsia="仿宋"/>
          <w:bCs/>
          <w:sz w:val="32"/>
          <w:szCs w:val="32"/>
        </w:rPr>
        <w:t>万元(依据上年度可支配收入适当调整）以上的部分，还可再享受大病保险待遇，报销无上限 。</w:t>
      </w:r>
    </w:p>
    <w:p>
      <w:pPr>
        <w:spacing w:line="360" w:lineRule="auto"/>
        <w:rPr>
          <w:rFonts w:hint="eastAsia" w:ascii="黑体" w:hAnsi="黑体" w:eastAsia="黑体" w:cs="仿宋_GB2312"/>
          <w:sz w:val="32"/>
          <w:szCs w:val="32"/>
        </w:rPr>
      </w:pP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 xml:space="preserve">  </w:t>
      </w:r>
      <w:r>
        <w:rPr>
          <w:rFonts w:hint="eastAsia" w:ascii="黑体" w:hAnsi="黑体" w:eastAsia="黑体" w:cs="仿宋_GB2312"/>
          <w:sz w:val="32"/>
          <w:szCs w:val="32"/>
        </w:rPr>
        <w:t xml:space="preserve">  五</w:t>
      </w:r>
      <w:r>
        <w:rPr>
          <w:rFonts w:hint="eastAsia" w:ascii="黑体" w:hAnsi="黑体" w:eastAsia="黑体" w:cs="黑体"/>
          <w:sz w:val="32"/>
          <w:szCs w:val="32"/>
        </w:rPr>
        <w:t>、在异地发生的医疗费用如何报销</w:t>
      </w:r>
    </w:p>
    <w:p>
      <w:pPr>
        <w:spacing w:line="360" w:lineRule="auto"/>
        <w:ind w:firstLine="640" w:firstLineChars="200"/>
        <w:rPr>
          <w:rFonts w:hint="eastAsia" w:ascii="仿宋" w:hAnsi="仿宋" w:eastAsia="仿宋" w:cs="仿宋_GB2312"/>
          <w:sz w:val="32"/>
          <w:szCs w:val="32"/>
          <w:lang w:val="en-US" w:eastAsia="zh-CN"/>
        </w:rPr>
      </w:pPr>
      <w:r>
        <w:rPr>
          <w:rFonts w:hint="eastAsia" w:ascii="仿宋" w:hAnsi="仿宋" w:eastAsia="仿宋" w:cs="仿宋_GB2312"/>
          <w:sz w:val="32"/>
          <w:szCs w:val="32"/>
        </w:rPr>
        <w:t>参保大学生寒、暑假期间在本人户籍所在地发生的住院费用先由个人现金垫付，返校后学校统一收集资料，由市医保中心进行</w:t>
      </w:r>
      <w:r>
        <w:rPr>
          <w:rFonts w:hint="eastAsia" w:ascii="仿宋" w:hAnsi="仿宋" w:eastAsia="仿宋" w:cs="仿宋_GB2312"/>
          <w:sz w:val="32"/>
          <w:szCs w:val="32"/>
          <w:lang w:eastAsia="zh-CN"/>
        </w:rPr>
        <w:t>按规定</w:t>
      </w:r>
      <w:r>
        <w:rPr>
          <w:rFonts w:hint="eastAsia" w:ascii="仿宋" w:hAnsi="仿宋" w:eastAsia="仿宋" w:cs="仿宋_GB2312"/>
          <w:sz w:val="32"/>
          <w:szCs w:val="32"/>
        </w:rPr>
        <w:t>报销。</w:t>
      </w:r>
      <w:r>
        <w:rPr>
          <w:rFonts w:hint="eastAsia" w:ascii="仿宋" w:hAnsi="仿宋" w:eastAsia="仿宋" w:cs="仿宋_GB2312"/>
          <w:sz w:val="32"/>
          <w:szCs w:val="32"/>
          <w:lang w:val="en-US" w:eastAsia="zh-CN"/>
        </w:rPr>
        <w:t xml:space="preserve"> </w:t>
      </w:r>
    </w:p>
    <w:p>
      <w:pPr>
        <w:spacing w:line="360" w:lineRule="auto"/>
        <w:ind w:firstLine="630" w:firstLineChars="196"/>
        <w:rPr>
          <w:rFonts w:hint="eastAsia" w:ascii="仿宋" w:hAnsi="仿宋" w:eastAsia="仿宋"/>
          <w:sz w:val="32"/>
          <w:szCs w:val="32"/>
        </w:rPr>
      </w:pPr>
      <w:r>
        <w:rPr>
          <w:rFonts w:hint="eastAsia" w:ascii="仿宋" w:hAnsi="仿宋" w:eastAsia="仿宋" w:cs="仿宋_GB2312"/>
          <w:b/>
          <w:bCs/>
          <w:sz w:val="32"/>
          <w:szCs w:val="32"/>
        </w:rPr>
        <w:t>注意：1、</w:t>
      </w:r>
      <w:r>
        <w:rPr>
          <w:rFonts w:hint="eastAsia" w:ascii="仿宋" w:hAnsi="仿宋" w:eastAsia="仿宋" w:cs="仿宋_GB2312"/>
          <w:sz w:val="32"/>
          <w:szCs w:val="32"/>
        </w:rPr>
        <w:t>如受户籍地医疗条件限制，需到户籍地以外的城市转诊就医，应由当地三级医院出据转诊证明，无转诊证明，不予报销。2、实习期间在实习地发生的住院费用由院校提供实习证明。3、如外伤（非交通事故）须另附一份本人书写的详细情况说明（包括具体时间地点、外伤缘由、具体发生的经过、其他涉及人事详情等等），以及学校出具</w:t>
      </w:r>
      <w:r>
        <w:rPr>
          <w:rFonts w:hint="eastAsia" w:ascii="仿宋" w:hAnsi="仿宋" w:eastAsia="仿宋"/>
          <w:sz w:val="32"/>
          <w:szCs w:val="32"/>
        </w:rPr>
        <w:t>的有效证明。</w:t>
      </w:r>
    </w:p>
    <w:p>
      <w:pPr>
        <w:spacing w:line="360" w:lineRule="auto"/>
        <w:ind w:firstLine="627" w:firstLineChars="196"/>
        <w:rPr>
          <w:rFonts w:hint="eastAsia" w:ascii="仿宋" w:hAnsi="仿宋" w:eastAsia="仿宋" w:cs="宋体"/>
          <w:kern w:val="0"/>
          <w:sz w:val="32"/>
          <w:szCs w:val="32"/>
        </w:rPr>
      </w:pPr>
      <w:r>
        <w:rPr>
          <w:rFonts w:hint="eastAsia" w:ascii="黑体" w:hAnsi="仿宋_GB2312" w:eastAsia="黑体" w:cs="仿宋_GB2312"/>
          <w:sz w:val="32"/>
          <w:szCs w:val="32"/>
        </w:rPr>
        <w:t>六、报销所需资料：</w:t>
      </w:r>
      <w:r>
        <w:rPr>
          <w:rFonts w:hint="eastAsia" w:ascii="仿宋" w:hAnsi="仿宋" w:eastAsia="仿宋" w:cs="仿宋_GB2312"/>
          <w:sz w:val="32"/>
          <w:szCs w:val="32"/>
        </w:rPr>
        <w:t>1、</w:t>
      </w:r>
      <w:r>
        <w:rPr>
          <w:rFonts w:hint="eastAsia" w:ascii="仿宋" w:hAnsi="仿宋" w:eastAsia="仿宋" w:cs="宋体"/>
          <w:kern w:val="0"/>
          <w:sz w:val="32"/>
          <w:szCs w:val="32"/>
        </w:rPr>
        <w:t>住院发票；2、汇总费用明细清单；3、出院记录或出院小结；4、申报人徐州市内的银行卡（存折）账号及本人二代有效身份证原件和复印件。</w:t>
      </w:r>
      <w:bookmarkStart w:id="0" w:name="_GoBack"/>
      <w:bookmarkEnd w:id="0"/>
    </w:p>
    <w:p>
      <w:pPr>
        <w:widowControl/>
        <w:spacing w:line="360" w:lineRule="auto"/>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如发生门急诊转住院，还需提供：1、门诊发票2、当天的门诊病历原件及复印件；3、门诊发票上的药品、治疗费需明细、价格清单；4、检查、化验需要报告；5、治疗需要主治医生手写治疗明细名称、价格。</w:t>
      </w:r>
    </w:p>
    <w:p>
      <w:pPr>
        <w:widowControl/>
        <w:spacing w:line="360" w:lineRule="auto"/>
        <w:ind w:firstLine="640" w:firstLineChars="20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报销所提供的资料，如发票、费用汇总明细清单、出院记录或出院小结、检查化验报告均需医院盖章。</w:t>
      </w:r>
    </w:p>
    <w:p>
      <w:pPr>
        <w:widowControl/>
        <w:spacing w:line="360" w:lineRule="auto"/>
        <w:ind w:firstLine="640" w:firstLineChars="200"/>
        <w:jc w:val="left"/>
        <w:rPr>
          <w:rFonts w:hint="eastAsia" w:ascii="黑体" w:hAnsi="黑体" w:eastAsia="黑体" w:cs="黑体"/>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黑体"/>
          <w:kern w:val="0"/>
          <w:sz w:val="32"/>
          <w:szCs w:val="32"/>
        </w:rPr>
        <w:t>七、毕业大学生医保接续问题。</w:t>
      </w:r>
    </w:p>
    <w:p>
      <w:pPr>
        <w:widowControl/>
        <w:spacing w:line="360" w:lineRule="auto"/>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如大学生毕业后参加工作的，应由所在单位办理职工基本医疗保险;如没就业的本市户籍大学生（含徐州市“五县二区”），请</w:t>
      </w:r>
      <w:r>
        <w:rPr>
          <w:rFonts w:hint="eastAsia" w:ascii="仿宋" w:hAnsi="仿宋" w:eastAsia="仿宋" w:cs="仿宋"/>
          <w:kern w:val="0"/>
          <w:sz w:val="32"/>
          <w:szCs w:val="32"/>
          <w:lang w:eastAsia="zh-CN"/>
        </w:rPr>
        <w:t>于</w:t>
      </w:r>
      <w:r>
        <w:rPr>
          <w:rFonts w:hint="eastAsia" w:ascii="仿宋" w:hAnsi="仿宋" w:eastAsia="仿宋" w:cs="仿宋"/>
          <w:kern w:val="0"/>
          <w:sz w:val="32"/>
          <w:szCs w:val="32"/>
        </w:rPr>
        <w:t>毕业</w:t>
      </w:r>
      <w:r>
        <w:rPr>
          <w:rFonts w:hint="eastAsia" w:ascii="仿宋" w:hAnsi="仿宋" w:eastAsia="仿宋" w:cs="仿宋"/>
          <w:kern w:val="0"/>
          <w:sz w:val="32"/>
          <w:szCs w:val="32"/>
          <w:lang w:eastAsia="zh-CN"/>
        </w:rPr>
        <w:t>次年元月份</w:t>
      </w:r>
      <w:r>
        <w:rPr>
          <w:rFonts w:hint="eastAsia" w:ascii="仿宋" w:hAnsi="仿宋" w:eastAsia="仿宋" w:cs="仿宋"/>
          <w:kern w:val="0"/>
          <w:sz w:val="32"/>
          <w:szCs w:val="32"/>
        </w:rPr>
        <w:t>到本人户籍所在地社区</w:t>
      </w:r>
      <w:r>
        <w:rPr>
          <w:rFonts w:hint="eastAsia" w:ascii="仿宋" w:hAnsi="仿宋" w:eastAsia="仿宋" w:cs="仿宋"/>
          <w:kern w:val="0"/>
          <w:sz w:val="32"/>
          <w:szCs w:val="32"/>
          <w:lang w:eastAsia="zh-CN"/>
        </w:rPr>
        <w:t>（或村委会）</w:t>
      </w:r>
      <w:r>
        <w:rPr>
          <w:rFonts w:hint="eastAsia" w:ascii="仿宋" w:hAnsi="仿宋" w:eastAsia="仿宋" w:cs="仿宋"/>
          <w:kern w:val="0"/>
          <w:sz w:val="32"/>
          <w:szCs w:val="32"/>
        </w:rPr>
        <w:t>办理城乡居民医保信息转入手续，即可继续缴费享受当地城乡居民医保待遇。非本市户籍毕业大学生回原籍后，按当地医保政策执行。</w:t>
      </w:r>
    </w:p>
    <w:p>
      <w:pPr>
        <w:widowControl/>
        <w:spacing w:line="360" w:lineRule="auto"/>
        <w:ind w:firstLine="640" w:firstLineChars="200"/>
        <w:jc w:val="left"/>
        <w:rPr>
          <w:rFonts w:hint="eastAsia" w:ascii="仿宋" w:hAnsi="仿宋" w:eastAsia="仿宋" w:cs="仿宋"/>
          <w:kern w:val="0"/>
          <w:sz w:val="32"/>
          <w:szCs w:val="32"/>
        </w:rPr>
      </w:pPr>
    </w:p>
    <w:p>
      <w:pPr>
        <w:widowControl/>
        <w:spacing w:line="360" w:lineRule="auto"/>
        <w:ind w:firstLine="640" w:firstLineChars="200"/>
        <w:jc w:val="left"/>
        <w:rPr>
          <w:rFonts w:hint="eastAsia" w:ascii="仿宋" w:hAnsi="仿宋" w:eastAsia="仿宋" w:cs="仿宋"/>
          <w:kern w:val="0"/>
          <w:sz w:val="32"/>
          <w:szCs w:val="32"/>
        </w:rPr>
      </w:pPr>
    </w:p>
    <w:p>
      <w:pPr>
        <w:widowControl/>
        <w:spacing w:line="360" w:lineRule="auto"/>
        <w:ind w:firstLine="640" w:firstLineChars="200"/>
        <w:jc w:val="left"/>
        <w:rPr>
          <w:rFonts w:hint="eastAsia" w:ascii="仿宋" w:hAnsi="仿宋" w:eastAsia="仿宋" w:cs="仿宋"/>
          <w:kern w:val="0"/>
          <w:sz w:val="32"/>
          <w:szCs w:val="32"/>
        </w:rPr>
      </w:pPr>
    </w:p>
    <w:p>
      <w:pPr>
        <w:spacing w:line="360" w:lineRule="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spacing w:line="360" w:lineRule="auto"/>
        <w:rPr>
          <w:rFonts w:hint="eastAsia" w:ascii="仿宋" w:hAnsi="仿宋" w:eastAsia="仿宋" w:cs="仿宋_GB2312"/>
          <w:sz w:val="32"/>
          <w:szCs w:val="32"/>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 w:hAnsi="仿宋" w:eastAsia="仿宋" w:cs="仿宋_GB2312"/>
          <w:sz w:val="32"/>
          <w:szCs w:val="32"/>
        </w:rPr>
        <w:t>　徐州市医疗保险基金管理中心</w:t>
      </w:r>
    </w:p>
    <w:p>
      <w:pPr>
        <w:spacing w:line="360" w:lineRule="auto"/>
        <w:rPr>
          <w:rFonts w:hint="eastAsia" w:ascii="仿宋" w:hAnsi="仿宋" w:eastAsia="仿宋" w:cs="仿宋_GB2312"/>
          <w:sz w:val="32"/>
          <w:szCs w:val="32"/>
        </w:rPr>
      </w:pPr>
      <w:r>
        <w:rPr>
          <w:rFonts w:hint="eastAsia" w:ascii="仿宋" w:hAnsi="仿宋" w:eastAsia="仿宋" w:cs="仿宋_GB2312"/>
          <w:sz w:val="32"/>
          <w:szCs w:val="32"/>
        </w:rPr>
        <w:t xml:space="preserve">                          </w:t>
      </w:r>
      <w:r>
        <w:rPr>
          <w:rFonts w:hint="eastAsia" w:ascii="仿宋" w:hAnsi="仿宋" w:eastAsia="仿宋" w:cs="仿宋_GB2312"/>
          <w:sz w:val="32"/>
          <w:szCs w:val="32"/>
          <w:lang w:val="en-US" w:eastAsia="zh-CN"/>
        </w:rPr>
        <w:t xml:space="preserve">     </w:t>
      </w:r>
      <w:r>
        <w:rPr>
          <w:rFonts w:hint="eastAsia" w:ascii="仿宋" w:hAnsi="仿宋" w:eastAsia="仿宋" w:cs="仿宋_GB2312"/>
          <w:sz w:val="32"/>
          <w:szCs w:val="32"/>
        </w:rPr>
        <w:t>二</w:t>
      </w:r>
      <w:r>
        <w:rPr>
          <w:rFonts w:hint="eastAsia" w:ascii="仿宋" w:hAnsi="仿宋" w:eastAsia="仿宋" w:cs="仿宋_GB2312"/>
          <w:sz w:val="32"/>
          <w:szCs w:val="32"/>
          <w:lang w:val="en-US" w:eastAsia="zh-CN"/>
        </w:rPr>
        <w:t>0</w:t>
      </w:r>
      <w:r>
        <w:rPr>
          <w:rFonts w:hint="eastAsia" w:ascii="仿宋" w:hAnsi="仿宋" w:eastAsia="仿宋" w:cs="仿宋_GB2312"/>
          <w:sz w:val="32"/>
          <w:szCs w:val="32"/>
          <w:lang w:eastAsia="zh-CN"/>
        </w:rPr>
        <w:t>二</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年</w:t>
      </w:r>
      <w:r>
        <w:rPr>
          <w:rFonts w:hint="eastAsia" w:ascii="仿宋" w:hAnsi="仿宋" w:eastAsia="仿宋" w:cs="仿宋_GB2312"/>
          <w:sz w:val="32"/>
          <w:szCs w:val="32"/>
          <w:lang w:eastAsia="zh-CN"/>
        </w:rPr>
        <w:t>八</w:t>
      </w:r>
      <w:r>
        <w:rPr>
          <w:rFonts w:hint="eastAsia" w:ascii="仿宋" w:hAnsi="仿宋" w:eastAsia="仿宋" w:cs="仿宋_GB2312"/>
          <w:sz w:val="32"/>
          <w:szCs w:val="32"/>
        </w:rPr>
        <w:t>月</w:t>
      </w:r>
    </w:p>
    <w:p/>
    <w:p/>
    <w:p/>
    <w:p/>
    <w:p/>
    <w:p/>
    <w:p/>
    <w:p/>
    <w:p>
      <w:pPr>
        <w:rPr>
          <w:rFonts w:hint="eastAsia"/>
          <w:lang w:eastAsia="zh-CN"/>
        </w:rPr>
      </w:pPr>
      <w:r>
        <w:rPr>
          <w:rFonts w:hint="eastAsia" w:ascii="黑体" w:hAnsi="黑体" w:eastAsia="黑体" w:cs="黑体"/>
          <w:sz w:val="44"/>
          <w:szCs w:val="44"/>
          <w:lang w:eastAsia="zh-CN"/>
        </w:rPr>
        <w:t>附件：</w:t>
      </w:r>
    </w:p>
    <w:tbl>
      <w:tblPr>
        <w:tblStyle w:val="2"/>
        <w:tblW w:w="9540" w:type="dxa"/>
        <w:tblInd w:w="0" w:type="dxa"/>
        <w:shd w:val="clear" w:color="auto" w:fill="auto"/>
        <w:tblLayout w:type="fixed"/>
        <w:tblCellMar>
          <w:top w:w="0" w:type="dxa"/>
          <w:left w:w="0" w:type="dxa"/>
          <w:bottom w:w="0" w:type="dxa"/>
          <w:right w:w="0" w:type="dxa"/>
        </w:tblCellMar>
      </w:tblPr>
      <w:tblGrid>
        <w:gridCol w:w="1146"/>
        <w:gridCol w:w="3068"/>
        <w:gridCol w:w="5290"/>
        <w:gridCol w:w="36"/>
      </w:tblGrid>
      <w:tr>
        <w:tblPrEx>
          <w:shd w:val="clear" w:color="auto" w:fill="auto"/>
          <w:tblCellMar>
            <w:top w:w="0" w:type="dxa"/>
            <w:left w:w="0" w:type="dxa"/>
            <w:bottom w:w="0" w:type="dxa"/>
            <w:right w:w="0" w:type="dxa"/>
          </w:tblCellMar>
        </w:tblPrEx>
        <w:trPr>
          <w:trHeight w:val="285" w:hRule="atLeast"/>
        </w:trPr>
        <w:tc>
          <w:tcPr>
            <w:tcW w:w="9504" w:type="dxa"/>
            <w:gridSpan w:val="3"/>
            <w:vMerge w:val="restart"/>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各合作银行社保卡</w:t>
            </w:r>
            <w:r>
              <w:rPr>
                <w:rFonts w:hint="eastAsia" w:ascii="宋体" w:hAnsi="宋体" w:cs="宋体"/>
                <w:b/>
                <w:i w:val="0"/>
                <w:color w:val="000000"/>
                <w:kern w:val="0"/>
                <w:sz w:val="36"/>
                <w:szCs w:val="36"/>
                <w:u w:val="none"/>
                <w:lang w:val="en-US" w:eastAsia="zh-CN" w:bidi="ar"/>
              </w:rPr>
              <w:t>办理点</w:t>
            </w:r>
            <w:r>
              <w:rPr>
                <w:rFonts w:hint="eastAsia" w:ascii="宋体" w:hAnsi="宋体" w:eastAsia="宋体" w:cs="宋体"/>
                <w:b/>
                <w:i w:val="0"/>
                <w:color w:val="000000"/>
                <w:kern w:val="0"/>
                <w:sz w:val="36"/>
                <w:szCs w:val="36"/>
                <w:u w:val="none"/>
                <w:lang w:val="en-US" w:eastAsia="zh-CN" w:bidi="ar"/>
              </w:rPr>
              <w:t>明细</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9504" w:type="dxa"/>
            <w:gridSpan w:val="3"/>
            <w:vMerge w:val="continue"/>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jc w:val="center"/>
              <w:rPr>
                <w:rFonts w:hint="eastAsia" w:ascii="宋体" w:hAnsi="宋体" w:eastAsia="宋体" w:cs="宋体"/>
                <w:b/>
                <w:i w:val="0"/>
                <w:color w:val="000000"/>
                <w:sz w:val="36"/>
                <w:szCs w:val="36"/>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银行类别</w:t>
            </w:r>
          </w:p>
        </w:tc>
        <w:tc>
          <w:tcPr>
            <w:tcW w:w="3068" w:type="dxa"/>
            <w:vMerge w:val="restart"/>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银行网点名称</w:t>
            </w:r>
          </w:p>
        </w:tc>
        <w:tc>
          <w:tcPr>
            <w:tcW w:w="5290" w:type="dxa"/>
            <w:vMerge w:val="restart"/>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详细地址</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vMerge w:val="continue"/>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5290" w:type="dxa"/>
            <w:vMerge w:val="continue"/>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工商银行</w:t>
            </w: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工商银行泉山支行营业部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徐州市泉山区北京北路2号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工商银行徐州分行营业部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徐州市云龙区大同街31号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工商银行鼓楼金马支行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江苏省徐州市金马路清水湾</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工商银行淮东环城路支行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徐州市鼓楼区前舜新村1-2号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工商银行淮西支行营业部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徐州市泉山区淮海西路181号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工商银行开发区支行营业部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徐州市开发区蟠桃山路5号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工商银行云龙万里支行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徐州市建国西路75号财富广场1楼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工商银行贾汪支行营业部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徐州市贾汪区前委路30号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工商银行铜山支行营业部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铜山区北京路万达广场南同昌西路北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工商银行丰县支行营业部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丰县向阳中路8号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工商银行沛县五一支行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江苏省徐州市沛县沛城镇新城区政务中心大楼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工商银行邳州通城支行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邳州市运河镇建设北路通成广场一楼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工商银行睢宁支行营业部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睢宁红叶南路一号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工商银行新沂支行营业部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新沂市市府路69号（市府路与公园路交汇处）</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农业银行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农业银行文亭支行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徐州市民主南路69号江苏恩华药业股份有限公司1层</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农业银行户部山支行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徐州市解放路97号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农业银行狮子山支行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徐州市铜山路139号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农业银行鼓楼支行营业部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徐州市鼓楼区环城路88号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农业银行马场支行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徐州市鼓楼区中山北路延长段255-1号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农业银行新建支行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徐州市煤建南路16-1号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农业银行城西支行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徐州市淮海西路延长段徐州市电信大楼一楼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农业银行拾屯支行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徐州市汉城路汉城小区1号楼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农业银行塔东支行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徐州市解放南路奎园小区西门南200米</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农业银行泰山支行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徐州市金山东路鑫泰小区1号楼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农业银行贾汪营业部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贾汪区前委路一号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农业银行丰县营业部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丰县向阳中路7号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农业银行新沂支行营业部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新沂市钟吾路160号（钟吾路与大桥路交汇处）</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农业银行沛县张寨支行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沛县张寨镇中心街中国农业银行张寨支行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农业银行邳州金山支行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邳州市通城世纪广场世纪大道北侧一单元26-27号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农业银行睢宁营业部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睢宁县天虹大道4号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建设银行</w:t>
            </w: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建设银行徐州分行营业部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徐州市解放北路1号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建设银行徐州淮西支行</w:t>
            </w:r>
          </w:p>
        </w:tc>
        <w:tc>
          <w:tcPr>
            <w:tcW w:w="52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徐州淮海西路248-2号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建设银行新沂支行营业部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新沂市金桥国际（建邺路与公园路交汇处）</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建设银行邳州支行营业部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邳州市解放西路68号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交通银行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交通银行营业部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徐州市中山南路56号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交通银行淮西支行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徐州市淮海西路253号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交通银行黄山小区支行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徐州市绿地世纪城100号商业综合楼1-101</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交通银行堤北支行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徐州市煤港路11号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交通银行金山桥支行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徐州市金山桥东苑小区1号楼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淮海农商行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淮海农商行金山桥支行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徐州市金山桥开发区民营科技园3号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淮海农商行御景湾支行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徐州市泉山区御景湾路1号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淮海农商行电视塔支行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徐州市泉山区西安南路122-2号楼一楼大厅北侧</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淮海农商行营业部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徐州市文亭街28号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铜山农商行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徐州铜山农商行鑫诚支行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徐州市铜山新区黄河路4号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徐州铜山农商行黄集支行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徐州市铜山区黄集镇政府驻地</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徐州铜山农商行营业部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徐州市铜山区北京南路26号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徐州铜山农商行大庙支行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徐州经济技术开发区大庙街道办事处兴镇路</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徐州铜山农商行潘塘支行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徐州市云龙区大龙湖办事处惠民小区西门</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彭城农商行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彭城农商行大吴支行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徐州市贾汪区大吴办事处大吴商城对过</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彭城农商行塔山支行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徐州市贾汪区大塔山镇塔山街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彭城农商行江西支行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徐州市贾汪区江庄镇江庄村</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丰县农商行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丰县农商行赵庄支行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丰县赵庄镇政府驻地</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丰县农商行梁寨支行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丰县梁寨镇政府驻地</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丰县农商行师寨支行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丰县师寨镇政府驻地</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丰县农商行宋楼支行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丰县宋楼镇政府驻地</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丰县农商行营业部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丰县人民中路9号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沛县农商行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沛县农商行营业部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沛县汤沐路中段11号</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沛县农商行栖山支行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沛县栖山镇中心街栖山农商行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沛县农商行杨屯支行</w:t>
            </w:r>
          </w:p>
        </w:tc>
        <w:tc>
          <w:tcPr>
            <w:tcW w:w="5290" w:type="dxa"/>
            <w:tcBorders>
              <w:top w:val="single" w:color="000000" w:sz="4" w:space="0"/>
              <w:left w:val="single" w:color="000000" w:sz="4" w:space="0"/>
              <w:bottom w:val="single" w:color="000000" w:sz="4" w:space="0"/>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沛县杨屯镇华天街右侧沛县农商行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邳州农商行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邳州农商行四户支行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邳州市四户街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邳州农商行陈楼支行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邳州市陈楼街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邳州农商行占城支行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邳州市占城街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邳州农商行土山支行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邳州市土山街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邳州农商行振中支行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邳州市八路街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邳州农商行戴庄支行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邳州市戴庄街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邳州农商行邳城支行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邳州市邳城街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邳州农商行徐楼支行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邳州市徐楼街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邳州农商行赵墩支行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邳州市赵墩街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邳州农商行红旗支行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邳州市戴圩街道</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邳州农商行炮车支行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邳州市炮车街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邳州农商行港上支行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邳州市港上街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邳州农商行邹庄支行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邳州市邹庄街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邳州农商行铁富支行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邳州市铁富街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邳州农商行官湖支行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邳州市官湖街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邳州农商行碾庄支行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邳州市碾庄街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邳州市建设中路16号信合大厦</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邳州农商行永兴支行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邳州市民主路12号（世贸大厦对面）</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邳州农商行华山路支行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邳州市华山北路（世纪花园西北综合楼）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邳州农商行东郊支行政务服务中心分理处</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邳州市花园路66号，政务服务中心一楼</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邳州农商行岔河支行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邳州市岔河街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邳州农商行邢楼支行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邳州市邢楼街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邳州农商行车夫山支行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邳州市车辐山街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邳州农商行宿羊山支行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邳州市宿羊山街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邳州农商行八义集支行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邳州市八义集街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邳州农商行议堂支行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邳州市议堂街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邳州农商行新河支行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邳州市新河街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邳州农商行帝景城支行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邳州市福州路，东方国贸大厦</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邳州农商行银河湾智慧社区</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邳州市瑞兴南路，银河湾小区内</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restart"/>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新沂农商行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新沂农商银行营业部</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新沂市钟吾路163号（钟吾路与大桥路交汇处）</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新沂农商行城北支行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新沂市新安镇郯新路110号（新安街道办门西）</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新沂农商行窑湾支行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新沂市窑湾镇汽车客运站旁</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新沂农商行合沟支行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新沂市合沟镇合沟街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新沂农商行小湖支行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新沂市新店镇小湖街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新沂农商行邵店支行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新沂市邵店镇邵店街</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375" w:hRule="atLeast"/>
        </w:trPr>
        <w:tc>
          <w:tcPr>
            <w:tcW w:w="1146" w:type="dxa"/>
            <w:vMerge w:val="continue"/>
            <w:tcBorders>
              <w:top w:val="single" w:color="000000" w:sz="4" w:space="0"/>
              <w:left w:val="single" w:color="000000" w:sz="4" w:space="0"/>
              <w:bottom w:val="nil"/>
              <w:right w:val="single" w:color="000000" w:sz="4" w:space="0"/>
            </w:tcBorders>
            <w:shd w:val="clear" w:color="auto" w:fill="CCE8CF"/>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新沂农商行唐店支行</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新沂市唐店行政服务大厅隔壁</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restart"/>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睢宁农商行</w:t>
            </w: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睢宁农商行姚集支行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睢宁县姚集中心街睢宁农商行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睢宁农商行邱集支行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睢宁县邱集中心街睢宁农商行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睢宁农商行王集支行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睢宁县王集中心街睢宁农商行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285" w:hRule="atLeast"/>
        </w:trPr>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jc w:val="center"/>
              <w:rPr>
                <w:rFonts w:hint="eastAsia" w:ascii="宋体" w:hAnsi="宋体" w:eastAsia="宋体" w:cs="宋体"/>
                <w:b/>
                <w:i w:val="0"/>
                <w:color w:val="000000"/>
                <w:sz w:val="22"/>
                <w:szCs w:val="22"/>
                <w:u w:val="none"/>
              </w:rPr>
            </w:pPr>
          </w:p>
        </w:tc>
        <w:tc>
          <w:tcPr>
            <w:tcW w:w="3068"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睢宁农商行晋陵支行</w:t>
            </w:r>
          </w:p>
        </w:tc>
        <w:tc>
          <w:tcPr>
            <w:tcW w:w="5290" w:type="dxa"/>
            <w:tcBorders>
              <w:top w:val="single" w:color="000000" w:sz="4" w:space="0"/>
              <w:left w:val="single" w:color="000000" w:sz="4" w:space="0"/>
              <w:bottom w:val="single" w:color="000000" w:sz="4" w:space="0"/>
              <w:right w:val="single" w:color="000000" w:sz="4" w:space="0"/>
            </w:tcBorders>
            <w:shd w:val="clear" w:color="auto" w:fill="9ED3A4"/>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睢宁县八一路与红叶路交叉口睢宁农商行</w:t>
            </w:r>
          </w:p>
        </w:tc>
        <w:tc>
          <w:tcPr>
            <w:tcW w:w="36" w:type="dxa"/>
            <w:tcBorders>
              <w:top w:val="nil"/>
              <w:left w:val="nil"/>
              <w:bottom w:val="nil"/>
              <w:right w:val="nil"/>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bl>
    <w:p>
      <w:pPr>
        <w:rPr>
          <w:rFonts w:hint="eastAsia" w:eastAsia="宋体"/>
          <w:lang w:eastAsia="zh-CN"/>
        </w:rPr>
      </w:pPr>
    </w:p>
    <w:sectPr>
      <w:pgSz w:w="11906" w:h="16838"/>
      <w:pgMar w:top="1417"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129E0"/>
    <w:rsid w:val="09566B0A"/>
    <w:rsid w:val="098A4C64"/>
    <w:rsid w:val="15481559"/>
    <w:rsid w:val="2A7129E0"/>
    <w:rsid w:val="39CA2D45"/>
    <w:rsid w:val="416D4607"/>
    <w:rsid w:val="4A146EA4"/>
    <w:rsid w:val="4BD57B92"/>
    <w:rsid w:val="50421EDB"/>
    <w:rsid w:val="59990366"/>
    <w:rsid w:val="5EE643E9"/>
    <w:rsid w:val="60411519"/>
    <w:rsid w:val="7546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2020-08-07T02:43:00Z</dcterms:created>
  <dc:creator>Administrator</dc:creator>
  <cp:lastModifiedBy>Administrator</cp:lastModifiedBy>
  <dcterms:modified xsi:type="dcterms:W3CDTF">2020-08-07T06:31:17Z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